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68613" w14:textId="77777777" w:rsidR="00D41D23" w:rsidRPr="00D41D23" w:rsidRDefault="00D41D23" w:rsidP="00D76179">
      <w:pPr>
        <w:rPr>
          <w:b/>
          <w:bCs/>
        </w:rPr>
      </w:pPr>
      <w:r w:rsidRPr="00D41D23">
        <w:rPr>
          <w:b/>
          <w:bCs/>
        </w:rPr>
        <w:t>Introduction</w:t>
      </w:r>
    </w:p>
    <w:p w14:paraId="4D8A0FA0" w14:textId="77777777" w:rsidR="00D41D23" w:rsidRDefault="00D41D23" w:rsidP="00D76179"/>
    <w:p w14:paraId="5151DC59" w14:textId="77777777" w:rsidR="00D41D23" w:rsidRDefault="00D41D23" w:rsidP="00D41D23">
      <w:pPr>
        <w:jc w:val="both"/>
      </w:pPr>
      <w:r w:rsidRPr="00D41D23">
        <w:t>The Agroecology Compliance Table is structured to assess institutional and programmatic alignment with the K8Ses</w:t>
      </w:r>
      <w:r>
        <w:t>, a</w:t>
      </w:r>
      <w:r w:rsidRPr="00D41D23">
        <w:t xml:space="preserve"> framework that captures the core dimensions of transformational thinking and sustainable organizational development. </w:t>
      </w:r>
    </w:p>
    <w:p w14:paraId="42FB5A92" w14:textId="77777777" w:rsidR="00D41D23" w:rsidRDefault="00D41D23" w:rsidP="00D41D23">
      <w:pPr>
        <w:jc w:val="both"/>
      </w:pPr>
    </w:p>
    <w:p w14:paraId="6D9B40C0" w14:textId="77777777" w:rsidR="00D41D23" w:rsidRDefault="00D41D23" w:rsidP="00D41D23">
      <w:pPr>
        <w:jc w:val="both"/>
      </w:pPr>
      <w:r w:rsidRPr="00D41D23">
        <w:t>This tool provides a comprehensive lens through which agroecology initiatives can be evaluated to ensure they are not only technically sound but also socially inclusive, ethically governed, and resilient. Each of the eight "</w:t>
      </w:r>
      <w:proofErr w:type="spellStart"/>
      <w:r w:rsidRPr="00D41D23">
        <w:t>Ses</w:t>
      </w:r>
      <w:proofErr w:type="spellEnd"/>
      <w:r w:rsidRPr="00D41D23">
        <w:t xml:space="preserve">" (Structure, Strategy, Systems, Staff, Skills, Style, Shared Values, and Sustainability) is broken down into specific criteria that reflect best practices in institutional behavior, leadership, and implementation. </w:t>
      </w:r>
    </w:p>
    <w:p w14:paraId="1A736B5F" w14:textId="77777777" w:rsidR="00D41D23" w:rsidRDefault="00D41D23" w:rsidP="00D41D23">
      <w:pPr>
        <w:jc w:val="both"/>
      </w:pPr>
    </w:p>
    <w:p w14:paraId="03D6EFF9" w14:textId="761F1E33" w:rsidR="00D76179" w:rsidRDefault="00D41D23" w:rsidP="00D41D23">
      <w:pPr>
        <w:jc w:val="both"/>
      </w:pPr>
      <w:r>
        <w:t xml:space="preserve">Using </w:t>
      </w:r>
      <w:r w:rsidRPr="00D41D23">
        <w:t xml:space="preserve">clear governance structures and evidence-based strategic planning </w:t>
      </w:r>
      <w:r>
        <w:t>and integrating</w:t>
      </w:r>
      <w:r w:rsidRPr="00D41D23">
        <w:t xml:space="preserve"> inclusive staffing, participatory leadership, and integration of agroecological principles, the table offers a practical pathway for organizations to monitor and enhance their compliance with holistic, sustainability-driven standards.</w:t>
      </w:r>
      <w:r>
        <w:t xml:space="preserve"> </w:t>
      </w:r>
      <w:r w:rsidRPr="00D41D23">
        <w:t>It is designed to help identify strengths, gaps, and areas for improvement in delivering effective agroecological transformation.</w:t>
      </w:r>
    </w:p>
    <w:p w14:paraId="5C366CB6" w14:textId="77777777" w:rsidR="00D41D23" w:rsidRPr="00D41D23" w:rsidRDefault="00D41D23" w:rsidP="00D76179"/>
    <w:tbl>
      <w:tblPr>
        <w:tblStyle w:val="TableGrid"/>
        <w:tblW w:w="8644"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8644"/>
      </w:tblGrid>
      <w:tr w:rsidR="00112922" w:rsidRPr="00D76179" w14:paraId="74573D71" w14:textId="7E4B6155" w:rsidTr="00D41D23">
        <w:tc>
          <w:tcPr>
            <w:tcW w:w="8644" w:type="dxa"/>
            <w:shd w:val="clear" w:color="auto" w:fill="DBE5F1" w:themeFill="accent1" w:themeFillTint="33"/>
          </w:tcPr>
          <w:p w14:paraId="5A5BFD3B" w14:textId="60094819" w:rsidR="00112922" w:rsidRPr="004F7689" w:rsidRDefault="000D7C6B" w:rsidP="00112922">
            <w:pPr>
              <w:spacing w:before="60" w:after="60"/>
              <w:rPr>
                <w:b/>
                <w:bCs/>
              </w:rPr>
            </w:pPr>
            <w:r>
              <w:rPr>
                <w:b/>
                <w:bCs/>
              </w:rPr>
              <w:t xml:space="preserve">Making AgroEcological Enterprises </w:t>
            </w:r>
            <w:r w:rsidR="00112922" w:rsidRPr="004F7689">
              <w:rPr>
                <w:b/>
                <w:bCs/>
              </w:rPr>
              <w:t>Compl</w:t>
            </w:r>
            <w:r>
              <w:rPr>
                <w:b/>
                <w:bCs/>
              </w:rPr>
              <w:t>y to</w:t>
            </w:r>
            <w:r w:rsidR="00112922" w:rsidRPr="004F7689">
              <w:rPr>
                <w:b/>
                <w:bCs/>
              </w:rPr>
              <w:t xml:space="preserve"> the </w:t>
            </w:r>
            <w:r>
              <w:rPr>
                <w:b/>
                <w:bCs/>
              </w:rPr>
              <w:t>K</w:t>
            </w:r>
            <w:r w:rsidR="00112922" w:rsidRPr="004F7689">
              <w:rPr>
                <w:b/>
                <w:bCs/>
              </w:rPr>
              <w:t>8Ses</w:t>
            </w:r>
          </w:p>
        </w:tc>
      </w:tr>
      <w:tr w:rsidR="00112922" w:rsidRPr="009A25B0" w14:paraId="530E4DFB" w14:textId="728BFD3C" w:rsidTr="00D41D23">
        <w:tc>
          <w:tcPr>
            <w:tcW w:w="8644" w:type="dxa"/>
          </w:tcPr>
          <w:p w14:paraId="1666FD8C" w14:textId="53654D70" w:rsidR="00112922" w:rsidRPr="009A25B0" w:rsidRDefault="00112922" w:rsidP="00112922">
            <w:pPr>
              <w:pStyle w:val="ListParagraph"/>
              <w:numPr>
                <w:ilvl w:val="0"/>
                <w:numId w:val="13"/>
              </w:numPr>
              <w:ind w:left="284"/>
              <w:rPr>
                <w:b/>
                <w:bCs/>
              </w:rPr>
            </w:pPr>
            <w:r w:rsidRPr="009A25B0">
              <w:rPr>
                <w:b/>
                <w:bCs/>
              </w:rPr>
              <w:t>Structure</w:t>
            </w:r>
          </w:p>
        </w:tc>
      </w:tr>
      <w:tr w:rsidR="00112922" w:rsidRPr="00D76179" w14:paraId="2582FCC9" w14:textId="41376AEB" w:rsidTr="00D41D23">
        <w:tc>
          <w:tcPr>
            <w:tcW w:w="8644" w:type="dxa"/>
          </w:tcPr>
          <w:p w14:paraId="474520DE" w14:textId="7058ABC9" w:rsidR="00112922" w:rsidRPr="00D76179" w:rsidRDefault="00112922" w:rsidP="00112922">
            <w:pPr>
              <w:pStyle w:val="ListParagraph"/>
              <w:numPr>
                <w:ilvl w:val="0"/>
                <w:numId w:val="23"/>
              </w:numPr>
              <w:ind w:left="709"/>
            </w:pPr>
            <w:r w:rsidRPr="00D76179">
              <w:t>Roles and responsibilities are clearly defined</w:t>
            </w:r>
          </w:p>
        </w:tc>
      </w:tr>
      <w:tr w:rsidR="00112922" w:rsidRPr="00D76179" w14:paraId="62A70DCD" w14:textId="52314C26" w:rsidTr="00D41D23">
        <w:tc>
          <w:tcPr>
            <w:tcW w:w="8644" w:type="dxa"/>
          </w:tcPr>
          <w:p w14:paraId="69CC9A52" w14:textId="14C31FA7" w:rsidR="00112922" w:rsidRPr="00D76179" w:rsidRDefault="00112922" w:rsidP="00112922">
            <w:pPr>
              <w:pStyle w:val="ListParagraph"/>
              <w:numPr>
                <w:ilvl w:val="0"/>
                <w:numId w:val="23"/>
              </w:numPr>
              <w:ind w:left="709"/>
            </w:pPr>
            <w:r w:rsidRPr="00D76179">
              <w:t>Structure allows decentralized decision-making</w:t>
            </w:r>
          </w:p>
        </w:tc>
      </w:tr>
      <w:tr w:rsidR="00112922" w:rsidRPr="00D76179" w14:paraId="422EC430" w14:textId="567F5224" w:rsidTr="00D41D23">
        <w:tc>
          <w:tcPr>
            <w:tcW w:w="8644" w:type="dxa"/>
          </w:tcPr>
          <w:p w14:paraId="110785BE" w14:textId="1CA21739" w:rsidR="00112922" w:rsidRPr="00D76179" w:rsidRDefault="00112922" w:rsidP="00112922">
            <w:pPr>
              <w:pStyle w:val="ListParagraph"/>
              <w:numPr>
                <w:ilvl w:val="0"/>
                <w:numId w:val="23"/>
              </w:numPr>
              <w:ind w:left="709"/>
            </w:pPr>
            <w:r w:rsidRPr="00D76179">
              <w:t>Governance is inclusive and transparent</w:t>
            </w:r>
          </w:p>
        </w:tc>
      </w:tr>
      <w:tr w:rsidR="00112922" w:rsidRPr="00D76179" w14:paraId="5867A5A8" w14:textId="41854301" w:rsidTr="00D41D23">
        <w:tc>
          <w:tcPr>
            <w:tcW w:w="8644" w:type="dxa"/>
          </w:tcPr>
          <w:p w14:paraId="4141FB87" w14:textId="1161991C" w:rsidR="00112922" w:rsidRPr="00D76179" w:rsidRDefault="00112922" w:rsidP="00112922">
            <w:pPr>
              <w:pStyle w:val="ListParagraph"/>
              <w:numPr>
                <w:ilvl w:val="0"/>
                <w:numId w:val="23"/>
              </w:numPr>
              <w:ind w:left="709"/>
            </w:pPr>
            <w:r w:rsidRPr="00D76179">
              <w:t>The organizational setup adapts to change</w:t>
            </w:r>
          </w:p>
        </w:tc>
      </w:tr>
      <w:tr w:rsidR="00112922" w:rsidRPr="00D76179" w14:paraId="05E714CC" w14:textId="2C76481E" w:rsidTr="00D41D23">
        <w:tc>
          <w:tcPr>
            <w:tcW w:w="8644" w:type="dxa"/>
          </w:tcPr>
          <w:p w14:paraId="2B9237FA" w14:textId="683B91E0" w:rsidR="00112922" w:rsidRPr="00D76179" w:rsidRDefault="00112922" w:rsidP="00112922">
            <w:pPr>
              <w:pStyle w:val="ListParagraph"/>
              <w:numPr>
                <w:ilvl w:val="0"/>
                <w:numId w:val="23"/>
              </w:numPr>
              <w:ind w:left="709"/>
            </w:pPr>
            <w:r w:rsidRPr="00D76179">
              <w:t>Organizational structure supports innovation</w:t>
            </w:r>
          </w:p>
        </w:tc>
      </w:tr>
      <w:tr w:rsidR="00112922" w:rsidRPr="009A25B0" w14:paraId="3E76716F" w14:textId="0C7F39AE" w:rsidTr="00D41D23">
        <w:tc>
          <w:tcPr>
            <w:tcW w:w="8644" w:type="dxa"/>
          </w:tcPr>
          <w:p w14:paraId="09EA33CC" w14:textId="462D5F4F" w:rsidR="00112922" w:rsidRPr="009A25B0" w:rsidRDefault="00664294" w:rsidP="00112922">
            <w:pPr>
              <w:pStyle w:val="ListParagraph"/>
              <w:numPr>
                <w:ilvl w:val="0"/>
                <w:numId w:val="13"/>
              </w:numPr>
              <w:ind w:left="284"/>
              <w:rPr>
                <w:b/>
                <w:bCs/>
              </w:rPr>
            </w:pPr>
            <w:r>
              <w:rPr>
                <w:b/>
                <w:bCs/>
              </w:rPr>
              <w:t>Strategy</w:t>
            </w:r>
          </w:p>
        </w:tc>
      </w:tr>
      <w:tr w:rsidR="00112922" w:rsidRPr="00D76179" w14:paraId="361FA5DA" w14:textId="14356C33" w:rsidTr="00D41D23">
        <w:tc>
          <w:tcPr>
            <w:tcW w:w="8644" w:type="dxa"/>
          </w:tcPr>
          <w:p w14:paraId="091BC2EC" w14:textId="5F32A150" w:rsidR="00112922" w:rsidRPr="00D76179" w:rsidRDefault="00112922" w:rsidP="00112922">
            <w:pPr>
              <w:pStyle w:val="ListParagraph"/>
              <w:numPr>
                <w:ilvl w:val="0"/>
                <w:numId w:val="24"/>
              </w:numPr>
              <w:tabs>
                <w:tab w:val="left" w:pos="1250"/>
              </w:tabs>
              <w:ind w:left="709" w:hanging="357"/>
            </w:pPr>
            <w:r w:rsidRPr="00D76179">
              <w:t>Clear, documented vision aligned with SDGs</w:t>
            </w:r>
          </w:p>
        </w:tc>
      </w:tr>
      <w:tr w:rsidR="00112922" w:rsidRPr="00D76179" w14:paraId="6C5858E3" w14:textId="59D85467" w:rsidTr="00D41D23">
        <w:tc>
          <w:tcPr>
            <w:tcW w:w="8644" w:type="dxa"/>
          </w:tcPr>
          <w:p w14:paraId="1E028185" w14:textId="34636FB3" w:rsidR="00112922" w:rsidRPr="00D76179" w:rsidRDefault="00112922" w:rsidP="00112922">
            <w:pPr>
              <w:pStyle w:val="ListParagraph"/>
              <w:numPr>
                <w:ilvl w:val="0"/>
                <w:numId w:val="24"/>
              </w:numPr>
              <w:tabs>
                <w:tab w:val="left" w:pos="1250"/>
              </w:tabs>
              <w:ind w:left="709" w:hanging="357"/>
            </w:pPr>
            <w:r w:rsidRPr="00D76179">
              <w:t>Strategies support inclusivity and resilience</w:t>
            </w:r>
          </w:p>
        </w:tc>
      </w:tr>
      <w:tr w:rsidR="00112922" w:rsidRPr="00D76179" w14:paraId="307FC4DF" w14:textId="17CE6396" w:rsidTr="00D41D23">
        <w:tc>
          <w:tcPr>
            <w:tcW w:w="8644" w:type="dxa"/>
          </w:tcPr>
          <w:p w14:paraId="5A983A64" w14:textId="65C1069C" w:rsidR="00112922" w:rsidRPr="00D76179" w:rsidRDefault="00112922" w:rsidP="00112922">
            <w:pPr>
              <w:pStyle w:val="ListParagraph"/>
              <w:numPr>
                <w:ilvl w:val="0"/>
                <w:numId w:val="24"/>
              </w:numPr>
              <w:tabs>
                <w:tab w:val="left" w:pos="1250"/>
              </w:tabs>
              <w:ind w:left="709" w:hanging="357"/>
            </w:pPr>
            <w:r w:rsidRPr="00D76179">
              <w:t>Strategic plan includes short and long-term goals</w:t>
            </w:r>
          </w:p>
        </w:tc>
      </w:tr>
      <w:tr w:rsidR="00112922" w:rsidRPr="00D76179" w14:paraId="0FEE6339" w14:textId="1E09216A" w:rsidTr="00D41D23">
        <w:tc>
          <w:tcPr>
            <w:tcW w:w="8644" w:type="dxa"/>
          </w:tcPr>
          <w:p w14:paraId="5505601B" w14:textId="39276DAF" w:rsidR="00112922" w:rsidRPr="00D76179" w:rsidRDefault="00112922" w:rsidP="00112922">
            <w:pPr>
              <w:pStyle w:val="ListParagraph"/>
              <w:numPr>
                <w:ilvl w:val="0"/>
                <w:numId w:val="24"/>
              </w:numPr>
              <w:tabs>
                <w:tab w:val="left" w:pos="1250"/>
              </w:tabs>
              <w:ind w:left="709" w:hanging="357"/>
            </w:pPr>
            <w:r w:rsidRPr="00D76179">
              <w:t>Use of data and evidence to inform strategy</w:t>
            </w:r>
          </w:p>
        </w:tc>
      </w:tr>
      <w:tr w:rsidR="00112922" w:rsidRPr="00D76179" w14:paraId="23AF2A56" w14:textId="24997AF4" w:rsidTr="00D41D23">
        <w:tc>
          <w:tcPr>
            <w:tcW w:w="8644" w:type="dxa"/>
          </w:tcPr>
          <w:p w14:paraId="03382182" w14:textId="38A79257" w:rsidR="00112922" w:rsidRPr="00D76179" w:rsidRDefault="00112922" w:rsidP="00112922">
            <w:pPr>
              <w:pStyle w:val="ListParagraph"/>
              <w:numPr>
                <w:ilvl w:val="0"/>
                <w:numId w:val="24"/>
              </w:numPr>
              <w:tabs>
                <w:tab w:val="left" w:pos="1250"/>
              </w:tabs>
              <w:ind w:left="709" w:hanging="357"/>
            </w:pPr>
            <w:r w:rsidRPr="00D76179">
              <w:t>Strategy aligns with partner and value chain goals</w:t>
            </w:r>
          </w:p>
        </w:tc>
      </w:tr>
      <w:tr w:rsidR="00112922" w:rsidRPr="009A25B0" w14:paraId="454C084D" w14:textId="78264286" w:rsidTr="00D41D23">
        <w:tc>
          <w:tcPr>
            <w:tcW w:w="8644" w:type="dxa"/>
          </w:tcPr>
          <w:p w14:paraId="130CB7A5" w14:textId="13ED1D61" w:rsidR="00112922" w:rsidRPr="009A25B0" w:rsidRDefault="00664294" w:rsidP="00112922">
            <w:pPr>
              <w:pStyle w:val="ListParagraph"/>
              <w:numPr>
                <w:ilvl w:val="0"/>
                <w:numId w:val="13"/>
              </w:numPr>
              <w:ind w:left="284"/>
              <w:rPr>
                <w:b/>
                <w:bCs/>
              </w:rPr>
            </w:pPr>
            <w:r>
              <w:rPr>
                <w:b/>
                <w:bCs/>
              </w:rPr>
              <w:t>Systems</w:t>
            </w:r>
          </w:p>
        </w:tc>
      </w:tr>
      <w:tr w:rsidR="00112922" w:rsidRPr="00D76179" w14:paraId="04E035B8" w14:textId="3622B837" w:rsidTr="00D41D23">
        <w:tc>
          <w:tcPr>
            <w:tcW w:w="8644" w:type="dxa"/>
          </w:tcPr>
          <w:p w14:paraId="58710341" w14:textId="69233C26" w:rsidR="00112922" w:rsidRPr="00D76179" w:rsidRDefault="00112922" w:rsidP="00112922">
            <w:pPr>
              <w:pStyle w:val="ListParagraph"/>
              <w:numPr>
                <w:ilvl w:val="0"/>
                <w:numId w:val="16"/>
              </w:numPr>
            </w:pPr>
            <w:r w:rsidRPr="00D76179">
              <w:t>Integrated digital/data systems are in place</w:t>
            </w:r>
          </w:p>
        </w:tc>
      </w:tr>
      <w:tr w:rsidR="00112922" w:rsidRPr="00D76179" w14:paraId="51D2114A" w14:textId="7D2F2A68" w:rsidTr="00D41D23">
        <w:tc>
          <w:tcPr>
            <w:tcW w:w="8644" w:type="dxa"/>
          </w:tcPr>
          <w:p w14:paraId="5F7985CB" w14:textId="07C7631D" w:rsidR="00112922" w:rsidRPr="00D76179" w:rsidRDefault="00112922" w:rsidP="00112922">
            <w:pPr>
              <w:pStyle w:val="ListParagraph"/>
              <w:numPr>
                <w:ilvl w:val="0"/>
                <w:numId w:val="16"/>
              </w:numPr>
            </w:pPr>
            <w:r w:rsidRPr="00D76179">
              <w:t>M&amp;E systems track performance transparently</w:t>
            </w:r>
          </w:p>
        </w:tc>
      </w:tr>
      <w:tr w:rsidR="00112922" w:rsidRPr="00D76179" w14:paraId="68E4AC98" w14:textId="25AE256F" w:rsidTr="00D41D23">
        <w:tc>
          <w:tcPr>
            <w:tcW w:w="8644" w:type="dxa"/>
          </w:tcPr>
          <w:p w14:paraId="51F14311" w14:textId="0731F2D5" w:rsidR="00112922" w:rsidRPr="00D76179" w:rsidRDefault="00112922" w:rsidP="00112922">
            <w:pPr>
              <w:pStyle w:val="ListParagraph"/>
              <w:numPr>
                <w:ilvl w:val="0"/>
                <w:numId w:val="16"/>
              </w:numPr>
            </w:pPr>
            <w:r w:rsidRPr="00D76179">
              <w:t>Feedback mechanisms are in operation</w:t>
            </w:r>
          </w:p>
        </w:tc>
      </w:tr>
      <w:tr w:rsidR="00112922" w:rsidRPr="00D76179" w14:paraId="37E081B8" w14:textId="12550E73" w:rsidTr="00D41D23">
        <w:tc>
          <w:tcPr>
            <w:tcW w:w="8644" w:type="dxa"/>
          </w:tcPr>
          <w:p w14:paraId="36022201" w14:textId="223D77B3" w:rsidR="00112922" w:rsidRPr="00D76179" w:rsidRDefault="00112922" w:rsidP="00112922">
            <w:pPr>
              <w:pStyle w:val="ListParagraph"/>
              <w:numPr>
                <w:ilvl w:val="0"/>
                <w:numId w:val="16"/>
              </w:numPr>
            </w:pPr>
            <w:r w:rsidRPr="00D76179">
              <w:t>Data platforms are interoperable and secure</w:t>
            </w:r>
          </w:p>
        </w:tc>
      </w:tr>
      <w:tr w:rsidR="00112922" w:rsidRPr="00D76179" w14:paraId="27D9CD0A" w14:textId="0829C4D1" w:rsidTr="00D41D23">
        <w:tc>
          <w:tcPr>
            <w:tcW w:w="8644" w:type="dxa"/>
          </w:tcPr>
          <w:p w14:paraId="11C8FB94" w14:textId="2B25C8D9" w:rsidR="00112922" w:rsidRPr="00D76179" w:rsidRDefault="00112922" w:rsidP="00112922">
            <w:pPr>
              <w:pStyle w:val="ListParagraph"/>
              <w:numPr>
                <w:ilvl w:val="0"/>
                <w:numId w:val="16"/>
              </w:numPr>
            </w:pPr>
            <w:r w:rsidRPr="00D76179">
              <w:t>Systems support traceability and accountability</w:t>
            </w:r>
          </w:p>
        </w:tc>
      </w:tr>
      <w:tr w:rsidR="00112922" w:rsidRPr="009A25B0" w14:paraId="56FEA64A" w14:textId="008C4C9E" w:rsidTr="00D41D23">
        <w:tc>
          <w:tcPr>
            <w:tcW w:w="8644" w:type="dxa"/>
          </w:tcPr>
          <w:p w14:paraId="1AF5D5E2" w14:textId="62786292" w:rsidR="00112922" w:rsidRPr="009A25B0" w:rsidRDefault="00664294" w:rsidP="00112922">
            <w:pPr>
              <w:pStyle w:val="ListParagraph"/>
              <w:numPr>
                <w:ilvl w:val="0"/>
                <w:numId w:val="13"/>
              </w:numPr>
              <w:ind w:left="284"/>
              <w:rPr>
                <w:b/>
                <w:bCs/>
              </w:rPr>
            </w:pPr>
            <w:r>
              <w:rPr>
                <w:b/>
                <w:bCs/>
              </w:rPr>
              <w:t>Staff</w:t>
            </w:r>
          </w:p>
        </w:tc>
      </w:tr>
      <w:tr w:rsidR="00112922" w:rsidRPr="00D76179" w14:paraId="0FAB03BD" w14:textId="58A76874" w:rsidTr="00D41D23">
        <w:tc>
          <w:tcPr>
            <w:tcW w:w="8644" w:type="dxa"/>
          </w:tcPr>
          <w:p w14:paraId="0691BDB0" w14:textId="31894172" w:rsidR="00112922" w:rsidRPr="00D76179" w:rsidRDefault="00112922" w:rsidP="00112922">
            <w:pPr>
              <w:pStyle w:val="ListParagraph"/>
              <w:numPr>
                <w:ilvl w:val="0"/>
                <w:numId w:val="17"/>
              </w:numPr>
              <w:ind w:left="709" w:hanging="357"/>
            </w:pPr>
            <w:r w:rsidRPr="00D76179">
              <w:t>Staff diversity reflects gender and inclusion goals</w:t>
            </w:r>
          </w:p>
        </w:tc>
      </w:tr>
      <w:tr w:rsidR="00112922" w:rsidRPr="00D76179" w14:paraId="0E085CE4" w14:textId="3FE5E64D" w:rsidTr="00D41D23">
        <w:tc>
          <w:tcPr>
            <w:tcW w:w="8644" w:type="dxa"/>
          </w:tcPr>
          <w:p w14:paraId="6FEF03E9" w14:textId="79A07EFD" w:rsidR="00112922" w:rsidRPr="00D76179" w:rsidRDefault="00112922" w:rsidP="00112922">
            <w:pPr>
              <w:pStyle w:val="ListParagraph"/>
              <w:numPr>
                <w:ilvl w:val="0"/>
                <w:numId w:val="17"/>
              </w:numPr>
              <w:ind w:left="709" w:hanging="357"/>
            </w:pPr>
            <w:r w:rsidRPr="00D76179">
              <w:t>Youth and marginalized groups are engaged</w:t>
            </w:r>
          </w:p>
        </w:tc>
      </w:tr>
      <w:tr w:rsidR="00112922" w:rsidRPr="00D76179" w14:paraId="0543DEE1" w14:textId="10C1D8FB" w:rsidTr="00D41D23">
        <w:tc>
          <w:tcPr>
            <w:tcW w:w="8644" w:type="dxa"/>
          </w:tcPr>
          <w:p w14:paraId="359F7544" w14:textId="1D34A22E" w:rsidR="00112922" w:rsidRPr="00D76179" w:rsidRDefault="00112922" w:rsidP="00112922">
            <w:pPr>
              <w:pStyle w:val="ListParagraph"/>
              <w:numPr>
                <w:ilvl w:val="0"/>
                <w:numId w:val="17"/>
              </w:numPr>
              <w:ind w:left="709" w:hanging="357"/>
            </w:pPr>
            <w:r w:rsidRPr="00D76179">
              <w:t>Staff are competent for their roles</w:t>
            </w:r>
          </w:p>
        </w:tc>
      </w:tr>
      <w:tr w:rsidR="00112922" w:rsidRPr="00D76179" w14:paraId="5DA39A4D" w14:textId="6250BD8C" w:rsidTr="00D41D23">
        <w:tc>
          <w:tcPr>
            <w:tcW w:w="8644" w:type="dxa"/>
          </w:tcPr>
          <w:p w14:paraId="137CA70C" w14:textId="073E7257" w:rsidR="00112922" w:rsidRPr="00D76179" w:rsidRDefault="00112922" w:rsidP="00112922">
            <w:pPr>
              <w:pStyle w:val="ListParagraph"/>
              <w:numPr>
                <w:ilvl w:val="0"/>
                <w:numId w:val="17"/>
              </w:numPr>
              <w:ind w:left="709" w:hanging="357"/>
            </w:pPr>
            <w:r w:rsidRPr="00D76179">
              <w:t>Ongoing training and development provided</w:t>
            </w:r>
          </w:p>
        </w:tc>
      </w:tr>
      <w:tr w:rsidR="00112922" w:rsidRPr="00D76179" w14:paraId="69295FFE" w14:textId="4C6C86F9" w:rsidTr="00D41D23">
        <w:tc>
          <w:tcPr>
            <w:tcW w:w="8644" w:type="dxa"/>
          </w:tcPr>
          <w:p w14:paraId="069310E9" w14:textId="01B52CDB" w:rsidR="00112922" w:rsidRPr="00D76179" w:rsidRDefault="00112922" w:rsidP="00112922">
            <w:pPr>
              <w:pStyle w:val="ListParagraph"/>
              <w:numPr>
                <w:ilvl w:val="0"/>
                <w:numId w:val="17"/>
              </w:numPr>
              <w:ind w:left="709" w:hanging="357"/>
            </w:pPr>
            <w:r w:rsidRPr="00D76179">
              <w:t>Performance incentives align with mission</w:t>
            </w:r>
          </w:p>
        </w:tc>
      </w:tr>
      <w:tr w:rsidR="00112922" w:rsidRPr="009A25B0" w14:paraId="59F2E6F5" w14:textId="05C13985" w:rsidTr="00D41D23">
        <w:tc>
          <w:tcPr>
            <w:tcW w:w="8644" w:type="dxa"/>
          </w:tcPr>
          <w:p w14:paraId="213CAD2C" w14:textId="7F5BB06F" w:rsidR="00112922" w:rsidRPr="009A25B0" w:rsidRDefault="00664294" w:rsidP="00112922">
            <w:pPr>
              <w:pStyle w:val="ListParagraph"/>
              <w:numPr>
                <w:ilvl w:val="0"/>
                <w:numId w:val="13"/>
              </w:numPr>
              <w:ind w:left="284"/>
              <w:rPr>
                <w:b/>
                <w:bCs/>
              </w:rPr>
            </w:pPr>
            <w:r>
              <w:rPr>
                <w:b/>
                <w:bCs/>
              </w:rPr>
              <w:lastRenderedPageBreak/>
              <w:t>Skills</w:t>
            </w:r>
          </w:p>
        </w:tc>
      </w:tr>
      <w:tr w:rsidR="00112922" w:rsidRPr="00D76179" w14:paraId="3A3D1480" w14:textId="71C35EDA" w:rsidTr="00D41D23">
        <w:tc>
          <w:tcPr>
            <w:tcW w:w="8644" w:type="dxa"/>
          </w:tcPr>
          <w:p w14:paraId="5A571141" w14:textId="27C396F3" w:rsidR="00112922" w:rsidRPr="00D76179" w:rsidRDefault="00112922" w:rsidP="00112922">
            <w:pPr>
              <w:pStyle w:val="ListParagraph"/>
              <w:numPr>
                <w:ilvl w:val="0"/>
                <w:numId w:val="18"/>
              </w:numPr>
            </w:pPr>
            <w:r w:rsidRPr="00D76179">
              <w:t>Required technical and soft skills are present</w:t>
            </w:r>
          </w:p>
        </w:tc>
      </w:tr>
      <w:tr w:rsidR="00112922" w:rsidRPr="00D76179" w14:paraId="72EC7D00" w14:textId="7147DA2A" w:rsidTr="00D41D23">
        <w:tc>
          <w:tcPr>
            <w:tcW w:w="8644" w:type="dxa"/>
          </w:tcPr>
          <w:p w14:paraId="4223D780" w14:textId="15829DA1" w:rsidR="00112922" w:rsidRPr="00D76179" w:rsidRDefault="00112922" w:rsidP="00112922">
            <w:pPr>
              <w:pStyle w:val="ListParagraph"/>
              <w:numPr>
                <w:ilvl w:val="0"/>
                <w:numId w:val="18"/>
              </w:numPr>
            </w:pPr>
            <w:r w:rsidRPr="00D76179">
              <w:t>Reskilling and upskilling programs exist</w:t>
            </w:r>
          </w:p>
        </w:tc>
      </w:tr>
      <w:tr w:rsidR="00112922" w:rsidRPr="00D76179" w14:paraId="2F2E5000" w14:textId="6E51CFA2" w:rsidTr="00D41D23">
        <w:tc>
          <w:tcPr>
            <w:tcW w:w="8644" w:type="dxa"/>
          </w:tcPr>
          <w:p w14:paraId="02397007" w14:textId="4EE5E98D" w:rsidR="00112922" w:rsidRPr="00D76179" w:rsidRDefault="00112922" w:rsidP="00112922">
            <w:pPr>
              <w:pStyle w:val="ListParagraph"/>
              <w:numPr>
                <w:ilvl w:val="0"/>
                <w:numId w:val="18"/>
              </w:numPr>
            </w:pPr>
            <w:r w:rsidRPr="00D76179">
              <w:t>Staff understand systems thinking</w:t>
            </w:r>
          </w:p>
        </w:tc>
      </w:tr>
      <w:tr w:rsidR="00112922" w:rsidRPr="00D76179" w14:paraId="05955585" w14:textId="73C80D20" w:rsidTr="00D41D23">
        <w:tc>
          <w:tcPr>
            <w:tcW w:w="8644" w:type="dxa"/>
          </w:tcPr>
          <w:p w14:paraId="27FADEDC" w14:textId="653DABAC" w:rsidR="00112922" w:rsidRPr="00D76179" w:rsidRDefault="00112922" w:rsidP="00112922">
            <w:pPr>
              <w:pStyle w:val="ListParagraph"/>
              <w:numPr>
                <w:ilvl w:val="0"/>
                <w:numId w:val="18"/>
              </w:numPr>
            </w:pPr>
            <w:r w:rsidRPr="00D76179">
              <w:t>Capacity exists to deliver sustainable practices</w:t>
            </w:r>
          </w:p>
        </w:tc>
      </w:tr>
      <w:tr w:rsidR="00112922" w:rsidRPr="00D76179" w14:paraId="1A1F3C97" w14:textId="5FBE7E37" w:rsidTr="00D41D23">
        <w:tc>
          <w:tcPr>
            <w:tcW w:w="8644" w:type="dxa"/>
          </w:tcPr>
          <w:p w14:paraId="411BC065" w14:textId="09EFE371" w:rsidR="00112922" w:rsidRPr="00D76179" w:rsidRDefault="00112922" w:rsidP="00112922">
            <w:pPr>
              <w:pStyle w:val="ListParagraph"/>
              <w:numPr>
                <w:ilvl w:val="0"/>
                <w:numId w:val="18"/>
              </w:numPr>
            </w:pPr>
            <w:r w:rsidRPr="00D76179">
              <w:t>Practical community-relevant skills promoted</w:t>
            </w:r>
          </w:p>
        </w:tc>
      </w:tr>
      <w:tr w:rsidR="00112922" w:rsidRPr="009A25B0" w14:paraId="0C1D3AFD" w14:textId="188574AA" w:rsidTr="00D41D23">
        <w:tc>
          <w:tcPr>
            <w:tcW w:w="8644" w:type="dxa"/>
          </w:tcPr>
          <w:p w14:paraId="5C1040EC" w14:textId="1ACBC2BC" w:rsidR="00112922" w:rsidRPr="009A25B0" w:rsidRDefault="00664294" w:rsidP="00112922">
            <w:pPr>
              <w:pStyle w:val="ListParagraph"/>
              <w:numPr>
                <w:ilvl w:val="0"/>
                <w:numId w:val="13"/>
              </w:numPr>
              <w:ind w:left="284"/>
              <w:rPr>
                <w:b/>
                <w:bCs/>
              </w:rPr>
            </w:pPr>
            <w:r>
              <w:rPr>
                <w:b/>
                <w:bCs/>
              </w:rPr>
              <w:t>Sty</w:t>
            </w:r>
            <w:r w:rsidR="00D41D23">
              <w:rPr>
                <w:b/>
                <w:bCs/>
              </w:rPr>
              <w:t>l</w:t>
            </w:r>
            <w:r>
              <w:rPr>
                <w:b/>
                <w:bCs/>
              </w:rPr>
              <w:t>e</w:t>
            </w:r>
          </w:p>
        </w:tc>
      </w:tr>
      <w:tr w:rsidR="00112922" w:rsidRPr="00D76179" w14:paraId="19C2843A" w14:textId="42652666" w:rsidTr="00D41D23">
        <w:tc>
          <w:tcPr>
            <w:tcW w:w="8644" w:type="dxa"/>
          </w:tcPr>
          <w:p w14:paraId="0C3B24E6" w14:textId="21D26B58" w:rsidR="00112922" w:rsidRPr="00D76179" w:rsidRDefault="00112922" w:rsidP="00112922">
            <w:pPr>
              <w:pStyle w:val="ListParagraph"/>
              <w:numPr>
                <w:ilvl w:val="0"/>
                <w:numId w:val="19"/>
              </w:numPr>
              <w:ind w:left="709" w:hanging="357"/>
            </w:pPr>
            <w:r w:rsidRPr="00D76179">
              <w:t>Leadership style is participatory and ethical</w:t>
            </w:r>
          </w:p>
        </w:tc>
      </w:tr>
      <w:tr w:rsidR="00112922" w:rsidRPr="00D76179" w14:paraId="68980908" w14:textId="48D57F68" w:rsidTr="00D41D23">
        <w:tc>
          <w:tcPr>
            <w:tcW w:w="8644" w:type="dxa"/>
          </w:tcPr>
          <w:p w14:paraId="7AB38CF2" w14:textId="206CD1F5" w:rsidR="00112922" w:rsidRPr="00D76179" w:rsidRDefault="00112922" w:rsidP="00112922">
            <w:pPr>
              <w:pStyle w:val="ListParagraph"/>
              <w:numPr>
                <w:ilvl w:val="0"/>
                <w:numId w:val="19"/>
              </w:numPr>
              <w:ind w:left="709" w:hanging="357"/>
            </w:pPr>
            <w:r w:rsidRPr="00D76179">
              <w:t>Open, collaborative culture exists</w:t>
            </w:r>
          </w:p>
        </w:tc>
      </w:tr>
      <w:tr w:rsidR="00112922" w:rsidRPr="00D76179" w14:paraId="3C443DFB" w14:textId="3EAF7468" w:rsidTr="00D41D23">
        <w:tc>
          <w:tcPr>
            <w:tcW w:w="8644" w:type="dxa"/>
          </w:tcPr>
          <w:p w14:paraId="4F5D7B3A" w14:textId="09BF6652" w:rsidR="00112922" w:rsidRPr="00D76179" w:rsidRDefault="00112922" w:rsidP="00112922">
            <w:pPr>
              <w:pStyle w:val="ListParagraph"/>
              <w:numPr>
                <w:ilvl w:val="0"/>
                <w:numId w:val="19"/>
              </w:numPr>
              <w:ind w:left="709" w:hanging="357"/>
            </w:pPr>
            <w:r w:rsidRPr="00D76179">
              <w:t>Decision-making is transparent and inclusive</w:t>
            </w:r>
          </w:p>
        </w:tc>
      </w:tr>
      <w:tr w:rsidR="00112922" w:rsidRPr="00D76179" w14:paraId="6F65A296" w14:textId="76AFCB15" w:rsidTr="00D41D23">
        <w:tc>
          <w:tcPr>
            <w:tcW w:w="8644" w:type="dxa"/>
          </w:tcPr>
          <w:p w14:paraId="4737F97A" w14:textId="0EC501C1" w:rsidR="00112922" w:rsidRPr="00D76179" w:rsidRDefault="00112922" w:rsidP="00112922">
            <w:pPr>
              <w:pStyle w:val="ListParagraph"/>
              <w:numPr>
                <w:ilvl w:val="0"/>
                <w:numId w:val="19"/>
              </w:numPr>
              <w:ind w:left="709" w:hanging="357"/>
            </w:pPr>
            <w:r w:rsidRPr="00D76179">
              <w:t>Organization embraces innovation and change</w:t>
            </w:r>
          </w:p>
        </w:tc>
      </w:tr>
      <w:tr w:rsidR="00112922" w:rsidRPr="00D76179" w14:paraId="1DCF5657" w14:textId="4042F599" w:rsidTr="00D41D23">
        <w:tc>
          <w:tcPr>
            <w:tcW w:w="8644" w:type="dxa"/>
          </w:tcPr>
          <w:p w14:paraId="0B0C4A50" w14:textId="36E0F1CD" w:rsidR="00112922" w:rsidRPr="00D76179" w:rsidRDefault="00112922" w:rsidP="00112922">
            <w:pPr>
              <w:pStyle w:val="ListParagraph"/>
              <w:numPr>
                <w:ilvl w:val="0"/>
                <w:numId w:val="19"/>
              </w:numPr>
              <w:ind w:left="709" w:hanging="357"/>
            </w:pPr>
            <w:r w:rsidRPr="00D76179">
              <w:t>Culture encourages learning and experimentation</w:t>
            </w:r>
          </w:p>
        </w:tc>
      </w:tr>
      <w:tr w:rsidR="00112922" w:rsidRPr="009A25B0" w14:paraId="033BAA46" w14:textId="15EF2865" w:rsidTr="00D41D23">
        <w:tc>
          <w:tcPr>
            <w:tcW w:w="8644" w:type="dxa"/>
          </w:tcPr>
          <w:p w14:paraId="23F8BE82" w14:textId="3FC6B2D2" w:rsidR="00112922" w:rsidRPr="009A25B0" w:rsidRDefault="00664294" w:rsidP="00112922">
            <w:pPr>
              <w:pStyle w:val="ListParagraph"/>
              <w:numPr>
                <w:ilvl w:val="0"/>
                <w:numId w:val="13"/>
              </w:numPr>
              <w:ind w:left="284"/>
              <w:rPr>
                <w:b/>
                <w:bCs/>
              </w:rPr>
            </w:pPr>
            <w:r>
              <w:rPr>
                <w:b/>
                <w:bCs/>
              </w:rPr>
              <w:t>Shared Values</w:t>
            </w:r>
          </w:p>
        </w:tc>
      </w:tr>
      <w:tr w:rsidR="00112922" w:rsidRPr="00D76179" w14:paraId="2CF327E2" w14:textId="3BF35E19" w:rsidTr="00D41D23">
        <w:tc>
          <w:tcPr>
            <w:tcW w:w="8644" w:type="dxa"/>
          </w:tcPr>
          <w:p w14:paraId="1BE82272" w14:textId="6703CA2D" w:rsidR="00112922" w:rsidRPr="00D76179" w:rsidRDefault="00112922" w:rsidP="00112922">
            <w:pPr>
              <w:pStyle w:val="ListParagraph"/>
              <w:numPr>
                <w:ilvl w:val="0"/>
                <w:numId w:val="20"/>
              </w:numPr>
              <w:ind w:left="709" w:hanging="357"/>
            </w:pPr>
            <w:r w:rsidRPr="00D76179">
              <w:t>Shared vision and values are documented</w:t>
            </w:r>
          </w:p>
        </w:tc>
        <w:bookmarkStart w:id="0" w:name="_Hlk197847289"/>
      </w:tr>
      <w:tr w:rsidR="00112922" w:rsidRPr="00D76179" w14:paraId="58EB16AD" w14:textId="48A6A55F" w:rsidTr="00D41D23">
        <w:tc>
          <w:tcPr>
            <w:tcW w:w="8644" w:type="dxa"/>
          </w:tcPr>
          <w:p w14:paraId="29F3F207" w14:textId="1770056E" w:rsidR="00112922" w:rsidRPr="00D76179" w:rsidRDefault="00112922" w:rsidP="00112922">
            <w:pPr>
              <w:pStyle w:val="ListParagraph"/>
              <w:numPr>
                <w:ilvl w:val="0"/>
                <w:numId w:val="20"/>
              </w:numPr>
              <w:ind w:left="709" w:hanging="357"/>
            </w:pPr>
            <w:r w:rsidRPr="00D76179">
              <w:t>Equity, sustainability, and inclusion are core values</w:t>
            </w:r>
          </w:p>
        </w:tc>
      </w:tr>
      <w:tr w:rsidR="00112922" w:rsidRPr="00D76179" w14:paraId="0BC5E8C7" w14:textId="24F5465C" w:rsidTr="00D41D23">
        <w:tc>
          <w:tcPr>
            <w:tcW w:w="8644" w:type="dxa"/>
          </w:tcPr>
          <w:p w14:paraId="08BF6B66" w14:textId="3F8D01B6" w:rsidR="00112922" w:rsidRPr="00D76179" w:rsidRDefault="00112922" w:rsidP="00112922">
            <w:pPr>
              <w:pStyle w:val="ListParagraph"/>
              <w:numPr>
                <w:ilvl w:val="0"/>
                <w:numId w:val="20"/>
              </w:numPr>
              <w:ind w:left="709" w:hanging="357"/>
            </w:pPr>
            <w:r w:rsidRPr="00D76179">
              <w:t>Mutual respect and trust are demonstrated</w:t>
            </w:r>
          </w:p>
        </w:tc>
      </w:tr>
      <w:tr w:rsidR="00112922" w:rsidRPr="00D76179" w14:paraId="234BF1E2" w14:textId="358C6A52" w:rsidTr="00D41D23">
        <w:tc>
          <w:tcPr>
            <w:tcW w:w="8644" w:type="dxa"/>
          </w:tcPr>
          <w:p w14:paraId="32198381" w14:textId="1F87782A" w:rsidR="00112922" w:rsidRPr="00D76179" w:rsidRDefault="00112922" w:rsidP="00112922">
            <w:pPr>
              <w:pStyle w:val="ListParagraph"/>
              <w:numPr>
                <w:ilvl w:val="0"/>
                <w:numId w:val="20"/>
              </w:numPr>
              <w:ind w:left="709" w:hanging="357"/>
            </w:pPr>
            <w:r w:rsidRPr="00D76179">
              <w:t>Collective identity and purpose evident</w:t>
            </w:r>
          </w:p>
        </w:tc>
      </w:tr>
      <w:tr w:rsidR="00112922" w:rsidRPr="00D76179" w14:paraId="5D90BA73" w14:textId="7B589361" w:rsidTr="00D41D23">
        <w:tc>
          <w:tcPr>
            <w:tcW w:w="8644" w:type="dxa"/>
          </w:tcPr>
          <w:p w14:paraId="0188BA5F" w14:textId="2B199CF4" w:rsidR="00112922" w:rsidRPr="00D76179" w:rsidRDefault="00112922" w:rsidP="00112922">
            <w:pPr>
              <w:pStyle w:val="ListParagraph"/>
              <w:numPr>
                <w:ilvl w:val="0"/>
                <w:numId w:val="20"/>
              </w:numPr>
              <w:ind w:left="709" w:hanging="357"/>
            </w:pPr>
            <w:r w:rsidRPr="00D76179">
              <w:t>Co-creation and collaboration are standard practice</w:t>
            </w:r>
          </w:p>
        </w:tc>
      </w:tr>
      <w:tr w:rsidR="00112922" w:rsidRPr="009A25B0" w14:paraId="4C312253" w14:textId="106B7931" w:rsidTr="00D41D23">
        <w:tc>
          <w:tcPr>
            <w:tcW w:w="8644" w:type="dxa"/>
          </w:tcPr>
          <w:p w14:paraId="56022FDF" w14:textId="2F09A5F7" w:rsidR="00112922" w:rsidRPr="009A25B0" w:rsidRDefault="00664294" w:rsidP="00112922">
            <w:pPr>
              <w:pStyle w:val="ListParagraph"/>
              <w:numPr>
                <w:ilvl w:val="0"/>
                <w:numId w:val="13"/>
              </w:numPr>
              <w:ind w:left="284"/>
              <w:rPr>
                <w:b/>
                <w:bCs/>
              </w:rPr>
            </w:pPr>
            <w:r>
              <w:rPr>
                <w:b/>
                <w:bCs/>
              </w:rPr>
              <w:t>Sustainability</w:t>
            </w:r>
          </w:p>
        </w:tc>
        <w:bookmarkEnd w:id="0"/>
      </w:tr>
      <w:tr w:rsidR="00112922" w:rsidRPr="00D76179" w14:paraId="5874955F" w14:textId="5412D3AE" w:rsidTr="00D41D23">
        <w:tc>
          <w:tcPr>
            <w:tcW w:w="8644" w:type="dxa"/>
          </w:tcPr>
          <w:p w14:paraId="35704B98" w14:textId="744D0768" w:rsidR="00112922" w:rsidRPr="00D76179" w:rsidRDefault="00112922" w:rsidP="00112922">
            <w:pPr>
              <w:pStyle w:val="ListParagraph"/>
              <w:numPr>
                <w:ilvl w:val="0"/>
                <w:numId w:val="21"/>
              </w:numPr>
              <w:ind w:left="709" w:hanging="357"/>
            </w:pPr>
            <w:r w:rsidRPr="00D76179">
              <w:t>Social, economic, and environmental sustainability integrated</w:t>
            </w:r>
          </w:p>
        </w:tc>
      </w:tr>
      <w:tr w:rsidR="00112922" w:rsidRPr="00D76179" w14:paraId="764238E9" w14:textId="17E38662" w:rsidTr="00D41D23">
        <w:tc>
          <w:tcPr>
            <w:tcW w:w="8644" w:type="dxa"/>
          </w:tcPr>
          <w:p w14:paraId="3B97FB58" w14:textId="4A220E1A" w:rsidR="00112922" w:rsidRPr="00D76179" w:rsidRDefault="00112922" w:rsidP="00112922">
            <w:pPr>
              <w:pStyle w:val="ListParagraph"/>
              <w:numPr>
                <w:ilvl w:val="0"/>
                <w:numId w:val="21"/>
              </w:numPr>
              <w:ind w:left="709" w:hanging="357"/>
            </w:pPr>
            <w:r w:rsidRPr="00D76179">
              <w:t>Organization is resilient to external shocks</w:t>
            </w:r>
          </w:p>
        </w:tc>
      </w:tr>
      <w:tr w:rsidR="00112922" w:rsidRPr="00D76179" w14:paraId="01A31D87" w14:textId="3E858D0D" w:rsidTr="00D41D23">
        <w:tc>
          <w:tcPr>
            <w:tcW w:w="8644" w:type="dxa"/>
          </w:tcPr>
          <w:p w14:paraId="591443C8" w14:textId="1783D5E3" w:rsidR="00112922" w:rsidRPr="00D76179" w:rsidRDefault="00112922" w:rsidP="00112922">
            <w:pPr>
              <w:pStyle w:val="ListParagraph"/>
              <w:numPr>
                <w:ilvl w:val="0"/>
                <w:numId w:val="21"/>
              </w:numPr>
              <w:ind w:left="709" w:hanging="357"/>
            </w:pPr>
            <w:r w:rsidRPr="00D76179">
              <w:t>Long-term financing or business models in place</w:t>
            </w:r>
          </w:p>
        </w:tc>
      </w:tr>
      <w:tr w:rsidR="00112922" w:rsidRPr="00D76179" w14:paraId="5B22E1ED" w14:textId="06F29DA4" w:rsidTr="00D41D23">
        <w:tc>
          <w:tcPr>
            <w:tcW w:w="8644" w:type="dxa"/>
          </w:tcPr>
          <w:p w14:paraId="577F8E7E" w14:textId="37B12228" w:rsidR="00112922" w:rsidRPr="00D76179" w:rsidRDefault="00112922" w:rsidP="00112922">
            <w:pPr>
              <w:pStyle w:val="ListParagraph"/>
              <w:numPr>
                <w:ilvl w:val="0"/>
                <w:numId w:val="21"/>
              </w:numPr>
              <w:ind w:left="709" w:hanging="357"/>
            </w:pPr>
            <w:r w:rsidRPr="00D76179">
              <w:t>Agroecological or climate-smart practices adopted</w:t>
            </w:r>
          </w:p>
        </w:tc>
      </w:tr>
      <w:tr w:rsidR="00112922" w:rsidRPr="00D76179" w14:paraId="5E15EA21" w14:textId="35283F28" w:rsidTr="00D41D23">
        <w:tc>
          <w:tcPr>
            <w:tcW w:w="8644" w:type="dxa"/>
          </w:tcPr>
          <w:p w14:paraId="7AC086A1" w14:textId="21783751" w:rsidR="00112922" w:rsidRPr="00D76179" w:rsidRDefault="00112922" w:rsidP="00112922">
            <w:pPr>
              <w:pStyle w:val="ListParagraph"/>
              <w:numPr>
                <w:ilvl w:val="0"/>
                <w:numId w:val="21"/>
              </w:numPr>
              <w:ind w:left="709" w:hanging="357"/>
            </w:pPr>
            <w:r w:rsidRPr="00D76179">
              <w:t>Sustainability principles guide governance and planning</w:t>
            </w:r>
          </w:p>
        </w:tc>
      </w:tr>
    </w:tbl>
    <w:p w14:paraId="09C3DCF8" w14:textId="77777777" w:rsidR="00D76179" w:rsidRPr="00D76179" w:rsidRDefault="00D76179" w:rsidP="00D76179"/>
    <w:p w14:paraId="14CDD314" w14:textId="6054DD57" w:rsidR="00B46D64" w:rsidRDefault="00B46D64" w:rsidP="00B46D64">
      <w:pPr>
        <w:rPr>
          <w:b/>
          <w:bCs/>
        </w:rPr>
      </w:pPr>
      <w:r>
        <w:rPr>
          <w:b/>
          <w:bCs/>
        </w:rPr>
        <w:t>A K8Ses Use case in a</w:t>
      </w:r>
      <w:r w:rsidRPr="00F43CEA">
        <w:rPr>
          <w:b/>
          <w:bCs/>
        </w:rPr>
        <w:t>nchoring the Systems Pillar on Food Systems Open Data Paradigm</w:t>
      </w:r>
    </w:p>
    <w:p w14:paraId="37275C84" w14:textId="77777777" w:rsidR="00B46D64" w:rsidRPr="00F43CEA" w:rsidRDefault="00B46D64" w:rsidP="00B46D64">
      <w:pPr>
        <w:rPr>
          <w:b/>
          <w:bCs/>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5" w:type="dxa"/>
          <w:left w:w="15" w:type="dxa"/>
          <w:bottom w:w="15" w:type="dxa"/>
          <w:right w:w="15" w:type="dxa"/>
        </w:tblCellMar>
        <w:tblLook w:val="04A0" w:firstRow="1" w:lastRow="0" w:firstColumn="1" w:lastColumn="0" w:noHBand="0" w:noVBand="1"/>
      </w:tblPr>
      <w:tblGrid>
        <w:gridCol w:w="2200"/>
        <w:gridCol w:w="6430"/>
      </w:tblGrid>
      <w:tr w:rsidR="00B46D64" w:rsidRPr="00F43CEA" w14:paraId="01B003F8" w14:textId="77777777" w:rsidTr="000D7C6B">
        <w:trPr>
          <w:trHeight w:val="444"/>
          <w:tblHeader/>
        </w:trPr>
        <w:tc>
          <w:tcPr>
            <w:tcW w:w="0" w:type="auto"/>
            <w:shd w:val="clear" w:color="auto" w:fill="DBE5F1" w:themeFill="accent1" w:themeFillTint="33"/>
            <w:vAlign w:val="center"/>
            <w:hideMark/>
          </w:tcPr>
          <w:p w14:paraId="7C14FAE8" w14:textId="77777777" w:rsidR="00B46D64" w:rsidRPr="00F43CEA" w:rsidRDefault="00B46D64" w:rsidP="00300815">
            <w:pPr>
              <w:rPr>
                <w:b/>
                <w:bCs/>
              </w:rPr>
            </w:pPr>
            <w:r w:rsidRPr="00F43CEA">
              <w:rPr>
                <w:b/>
                <w:bCs/>
              </w:rPr>
              <w:t>Systems Pillar Element</w:t>
            </w:r>
          </w:p>
        </w:tc>
        <w:tc>
          <w:tcPr>
            <w:tcW w:w="0" w:type="auto"/>
            <w:shd w:val="clear" w:color="auto" w:fill="DBE5F1" w:themeFill="accent1" w:themeFillTint="33"/>
            <w:vAlign w:val="center"/>
            <w:hideMark/>
          </w:tcPr>
          <w:p w14:paraId="4BEA9702" w14:textId="55270082" w:rsidR="00B46D64" w:rsidRPr="00F43CEA" w:rsidRDefault="00B46D64" w:rsidP="00300815">
            <w:pPr>
              <w:rPr>
                <w:b/>
                <w:bCs/>
              </w:rPr>
            </w:pPr>
            <w:r>
              <w:rPr>
                <w:b/>
                <w:bCs/>
              </w:rPr>
              <w:t xml:space="preserve">GODAN’s </w:t>
            </w:r>
            <w:r>
              <w:rPr>
                <w:b/>
                <w:bCs/>
              </w:rPr>
              <w:t xml:space="preserve">Community of Practice </w:t>
            </w:r>
            <w:r w:rsidRPr="00F43CEA">
              <w:rPr>
                <w:b/>
                <w:bCs/>
              </w:rPr>
              <w:t>Anchoring Approach</w:t>
            </w:r>
          </w:p>
        </w:tc>
      </w:tr>
      <w:tr w:rsidR="00B46D64" w:rsidRPr="00F43CEA" w14:paraId="5FE3A8EC" w14:textId="77777777" w:rsidTr="00300815">
        <w:tc>
          <w:tcPr>
            <w:tcW w:w="0" w:type="auto"/>
            <w:vAlign w:val="center"/>
            <w:hideMark/>
          </w:tcPr>
          <w:p w14:paraId="5894E535" w14:textId="77777777" w:rsidR="00B46D64" w:rsidRPr="00F43CEA" w:rsidRDefault="00B46D64" w:rsidP="00B46D64">
            <w:pPr>
              <w:pStyle w:val="ListParagraph"/>
              <w:numPr>
                <w:ilvl w:val="0"/>
                <w:numId w:val="25"/>
              </w:numPr>
            </w:pPr>
            <w:r w:rsidRPr="00F43CEA">
              <w:t>Integrated digital/data systems are in place</w:t>
            </w:r>
          </w:p>
        </w:tc>
        <w:tc>
          <w:tcPr>
            <w:tcW w:w="0" w:type="auto"/>
            <w:vAlign w:val="center"/>
            <w:hideMark/>
          </w:tcPr>
          <w:p w14:paraId="632A1139" w14:textId="77777777" w:rsidR="00B46D64" w:rsidRPr="00F43CEA" w:rsidRDefault="00B46D64" w:rsidP="00300815">
            <w:r>
              <w:t>GODAN uses an</w:t>
            </w:r>
            <w:r w:rsidRPr="00F43CEA">
              <w:t xml:space="preserve"> Integrated Food Systems platforms to connect data across production, distribution, nutrition, environment, and markets. Link agroecological data (e.g., soil health, input use, biodiversity) with nutrition and climate data through interoperable, open digital tools.</w:t>
            </w:r>
          </w:p>
        </w:tc>
      </w:tr>
      <w:tr w:rsidR="00B46D64" w:rsidRPr="00F43CEA" w14:paraId="0ABA329A" w14:textId="77777777" w:rsidTr="00300815">
        <w:tc>
          <w:tcPr>
            <w:tcW w:w="0" w:type="auto"/>
            <w:vAlign w:val="center"/>
            <w:hideMark/>
          </w:tcPr>
          <w:p w14:paraId="3BD4512F" w14:textId="77777777" w:rsidR="00B46D64" w:rsidRPr="00F43CEA" w:rsidRDefault="00B46D64" w:rsidP="00B46D64">
            <w:pPr>
              <w:pStyle w:val="ListParagraph"/>
              <w:numPr>
                <w:ilvl w:val="0"/>
                <w:numId w:val="25"/>
              </w:numPr>
            </w:pPr>
            <w:r w:rsidRPr="00F43CEA">
              <w:t>M&amp;E systems track performance transparently</w:t>
            </w:r>
          </w:p>
        </w:tc>
        <w:tc>
          <w:tcPr>
            <w:tcW w:w="0" w:type="auto"/>
            <w:vAlign w:val="center"/>
            <w:hideMark/>
          </w:tcPr>
          <w:p w14:paraId="5B3B3DAE" w14:textId="77777777" w:rsidR="00B46D64" w:rsidRPr="00F43CEA" w:rsidRDefault="00B46D64" w:rsidP="00300815">
            <w:r>
              <w:t>We support the d</w:t>
            </w:r>
            <w:r w:rsidRPr="00F43CEA">
              <w:t>evelop</w:t>
            </w:r>
            <w:r>
              <w:t>ment of</w:t>
            </w:r>
            <w:r w:rsidRPr="00F43CEA">
              <w:t xml:space="preserve"> open-access dashboards using open data standards to publish and visualize agroecological performance indicators (e.g., organic input use, biodiversity metrics, farmer incomes). Integrate with national agriculture and environment M&amp;E systems for scalability and legitimacy.</w:t>
            </w:r>
          </w:p>
        </w:tc>
      </w:tr>
      <w:tr w:rsidR="00B46D64" w:rsidRPr="00F43CEA" w14:paraId="1E542F1C" w14:textId="77777777" w:rsidTr="00300815">
        <w:tc>
          <w:tcPr>
            <w:tcW w:w="0" w:type="auto"/>
            <w:vAlign w:val="center"/>
            <w:hideMark/>
          </w:tcPr>
          <w:p w14:paraId="2433F120" w14:textId="77777777" w:rsidR="00B46D64" w:rsidRPr="00F43CEA" w:rsidRDefault="00B46D64" w:rsidP="00B46D64">
            <w:pPr>
              <w:pStyle w:val="ListParagraph"/>
              <w:numPr>
                <w:ilvl w:val="0"/>
                <w:numId w:val="25"/>
              </w:numPr>
            </w:pPr>
            <w:r w:rsidRPr="00F43CEA">
              <w:t>Feedback mechanisms are in operation</w:t>
            </w:r>
          </w:p>
        </w:tc>
        <w:tc>
          <w:tcPr>
            <w:tcW w:w="0" w:type="auto"/>
            <w:vAlign w:val="center"/>
            <w:hideMark/>
          </w:tcPr>
          <w:p w14:paraId="77B60E6C" w14:textId="77777777" w:rsidR="00B46D64" w:rsidRPr="00F43CEA" w:rsidRDefault="00B46D64" w:rsidP="00300815">
            <w:r>
              <w:t>GODAN promotes the u</w:t>
            </w:r>
            <w:r w:rsidRPr="00F43CEA">
              <w:t xml:space="preserve">se </w:t>
            </w:r>
            <w:r>
              <w:t xml:space="preserve">of </w:t>
            </w:r>
            <w:r w:rsidRPr="00F43CEA">
              <w:t>mobile platforms, participatory digital tools, and community data feedback loops (e.g., GALS, community scorecards) to collect real-time data from farmers and stakeholders. Ensure this data is openly shared and informs program adjustments.</w:t>
            </w:r>
          </w:p>
        </w:tc>
      </w:tr>
      <w:tr w:rsidR="00B46D64" w:rsidRPr="00F43CEA" w14:paraId="56D32441" w14:textId="77777777" w:rsidTr="00300815">
        <w:tc>
          <w:tcPr>
            <w:tcW w:w="0" w:type="auto"/>
            <w:vAlign w:val="center"/>
            <w:hideMark/>
          </w:tcPr>
          <w:p w14:paraId="1EA011FA" w14:textId="77777777" w:rsidR="00B46D64" w:rsidRPr="00F43CEA" w:rsidRDefault="00B46D64" w:rsidP="00B46D64">
            <w:pPr>
              <w:pStyle w:val="ListParagraph"/>
              <w:numPr>
                <w:ilvl w:val="0"/>
                <w:numId w:val="25"/>
              </w:numPr>
            </w:pPr>
            <w:r w:rsidRPr="00F43CEA">
              <w:lastRenderedPageBreak/>
              <w:t>Data platforms are interoperable and secure</w:t>
            </w:r>
          </w:p>
        </w:tc>
        <w:tc>
          <w:tcPr>
            <w:tcW w:w="0" w:type="auto"/>
            <w:vAlign w:val="center"/>
            <w:hideMark/>
          </w:tcPr>
          <w:p w14:paraId="7DDE5E43" w14:textId="77777777" w:rsidR="00B46D64" w:rsidRPr="00F43CEA" w:rsidRDefault="00B46D64" w:rsidP="00300815">
            <w:r>
              <w:t>Our key agenda is to a</w:t>
            </w:r>
            <w:r w:rsidRPr="00F43CEA">
              <w:t xml:space="preserve">lign with FAIR data principles (Findable, Accessible, Interoperable, Reusable). </w:t>
            </w:r>
            <w:r>
              <w:t>We u</w:t>
            </w:r>
            <w:r w:rsidRPr="00F43CEA">
              <w:t>se APIs and open-source architectures that allow data sharing across ministries, counties, NGOs, and research institutions while upholding data protection and governance policies.</w:t>
            </w:r>
          </w:p>
        </w:tc>
      </w:tr>
      <w:tr w:rsidR="00B46D64" w:rsidRPr="00F43CEA" w14:paraId="5E2DCF1A" w14:textId="77777777" w:rsidTr="00300815">
        <w:tc>
          <w:tcPr>
            <w:tcW w:w="0" w:type="auto"/>
            <w:vAlign w:val="center"/>
            <w:hideMark/>
          </w:tcPr>
          <w:p w14:paraId="7D22AB73" w14:textId="77777777" w:rsidR="00B46D64" w:rsidRPr="00F43CEA" w:rsidRDefault="00B46D64" w:rsidP="00B46D64">
            <w:pPr>
              <w:pStyle w:val="ListParagraph"/>
              <w:numPr>
                <w:ilvl w:val="0"/>
                <w:numId w:val="25"/>
              </w:numPr>
            </w:pPr>
            <w:r w:rsidRPr="00F43CEA">
              <w:t>Systems support traceability and accountability</w:t>
            </w:r>
          </w:p>
        </w:tc>
        <w:tc>
          <w:tcPr>
            <w:tcW w:w="0" w:type="auto"/>
            <w:vAlign w:val="center"/>
            <w:hideMark/>
          </w:tcPr>
          <w:p w14:paraId="361852D0" w14:textId="77777777" w:rsidR="00B46D64" w:rsidRPr="00F43CEA" w:rsidRDefault="00B46D64" w:rsidP="00300815">
            <w:r>
              <w:t>We a</w:t>
            </w:r>
            <w:r w:rsidRPr="00F43CEA">
              <w:t xml:space="preserve">pply open blockchain or traceability platforms that document agroecological practices along value chains (e.g., from farm to fork). </w:t>
            </w:r>
            <w:r>
              <w:t>We support the p</w:t>
            </w:r>
            <w:r w:rsidRPr="00F43CEA">
              <w:t>ublish</w:t>
            </w:r>
            <w:r>
              <w:t>ing of</w:t>
            </w:r>
            <w:r w:rsidRPr="00F43CEA">
              <w:t xml:space="preserve"> datasets related to certification, input use, and environmental performance to foster market transparency and trust.</w:t>
            </w:r>
          </w:p>
        </w:tc>
      </w:tr>
    </w:tbl>
    <w:p w14:paraId="1E6EF49C" w14:textId="77777777" w:rsidR="00B46D64" w:rsidRPr="00F43CEA" w:rsidRDefault="00B46D64" w:rsidP="00B46D64"/>
    <w:p w14:paraId="0B408C35" w14:textId="77777777" w:rsidR="00023195" w:rsidRPr="00D76179" w:rsidRDefault="00023195" w:rsidP="00D76179"/>
    <w:sectPr w:rsidR="00023195" w:rsidRPr="00D76179"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ADCD7" w14:textId="77777777" w:rsidR="00D817E7" w:rsidRDefault="00D817E7" w:rsidP="00664294">
      <w:pPr>
        <w:spacing w:line="240" w:lineRule="auto"/>
      </w:pPr>
      <w:r>
        <w:separator/>
      </w:r>
    </w:p>
  </w:endnote>
  <w:endnote w:type="continuationSeparator" w:id="0">
    <w:p w14:paraId="664B57AC" w14:textId="77777777" w:rsidR="00D817E7" w:rsidRDefault="00D817E7" w:rsidP="006642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AEF0B" w14:textId="77777777" w:rsidR="00D817E7" w:rsidRDefault="00D817E7" w:rsidP="00664294">
      <w:pPr>
        <w:spacing w:line="240" w:lineRule="auto"/>
      </w:pPr>
      <w:r>
        <w:separator/>
      </w:r>
    </w:p>
  </w:footnote>
  <w:footnote w:type="continuationSeparator" w:id="0">
    <w:p w14:paraId="3FBEF2BC" w14:textId="77777777" w:rsidR="00D817E7" w:rsidRDefault="00D817E7" w:rsidP="006642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FA2B6" w14:textId="03CCF2D2" w:rsidR="00664294" w:rsidRPr="00664294" w:rsidRDefault="00664294" w:rsidP="00664294">
    <w:pPr>
      <w:rPr>
        <w:b/>
        <w:bCs/>
      </w:rPr>
    </w:pPr>
    <w:r w:rsidRPr="00D76179">
      <w:rPr>
        <w:b/>
        <w:bCs/>
      </w:rPr>
      <w:t>Kiringai 8</w:t>
    </w:r>
    <w:r>
      <w:rPr>
        <w:b/>
        <w:bCs/>
      </w:rPr>
      <w:t>S</w:t>
    </w:r>
    <w:r w:rsidRPr="00D76179">
      <w:rPr>
        <w:b/>
        <w:bCs/>
      </w:rPr>
      <w:t xml:space="preserve">es </w:t>
    </w:r>
    <w:r>
      <w:rPr>
        <w:b/>
        <w:bCs/>
      </w:rPr>
      <w:t xml:space="preserve">AgroEcological </w:t>
    </w:r>
    <w:r w:rsidRPr="00D76179">
      <w:rPr>
        <w:b/>
        <w:bCs/>
      </w:rPr>
      <w:t>Compliance Monitoring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BA852CB"/>
    <w:multiLevelType w:val="hybridMultilevel"/>
    <w:tmpl w:val="658E729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0A6788"/>
    <w:multiLevelType w:val="hybridMultilevel"/>
    <w:tmpl w:val="12B0710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F6E2F81"/>
    <w:multiLevelType w:val="hybridMultilevel"/>
    <w:tmpl w:val="4558A3A2"/>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0E14C3F"/>
    <w:multiLevelType w:val="hybridMultilevel"/>
    <w:tmpl w:val="838CFE96"/>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1B327431"/>
    <w:multiLevelType w:val="hybridMultilevel"/>
    <w:tmpl w:val="431881E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EA262E"/>
    <w:multiLevelType w:val="hybridMultilevel"/>
    <w:tmpl w:val="ED9AD66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27551576"/>
    <w:multiLevelType w:val="hybridMultilevel"/>
    <w:tmpl w:val="3488D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1D10DE"/>
    <w:multiLevelType w:val="hybridMultilevel"/>
    <w:tmpl w:val="2B0E1A42"/>
    <w:lvl w:ilvl="0" w:tplc="04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C4A521C"/>
    <w:multiLevelType w:val="hybridMultilevel"/>
    <w:tmpl w:val="F482A54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F30451"/>
    <w:multiLevelType w:val="hybridMultilevel"/>
    <w:tmpl w:val="76F65028"/>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D172769"/>
    <w:multiLevelType w:val="hybridMultilevel"/>
    <w:tmpl w:val="5650C47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51C52CD6"/>
    <w:multiLevelType w:val="hybridMultilevel"/>
    <w:tmpl w:val="9D72B320"/>
    <w:lvl w:ilvl="0" w:tplc="04090019">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1" w15:restartNumberingAfterBreak="0">
    <w:nsid w:val="53EE0732"/>
    <w:multiLevelType w:val="hybridMultilevel"/>
    <w:tmpl w:val="898422E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5AA65B3A"/>
    <w:multiLevelType w:val="hybridMultilevel"/>
    <w:tmpl w:val="F2CAF64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0F03FC"/>
    <w:multiLevelType w:val="hybridMultilevel"/>
    <w:tmpl w:val="3488D4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509297C"/>
    <w:multiLevelType w:val="hybridMultilevel"/>
    <w:tmpl w:val="6C6845D4"/>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1495686889">
    <w:abstractNumId w:val="8"/>
  </w:num>
  <w:num w:numId="2" w16cid:durableId="1352688353">
    <w:abstractNumId w:val="6"/>
  </w:num>
  <w:num w:numId="3" w16cid:durableId="1531911679">
    <w:abstractNumId w:val="5"/>
  </w:num>
  <w:num w:numId="4" w16cid:durableId="1748725882">
    <w:abstractNumId w:val="4"/>
  </w:num>
  <w:num w:numId="5" w16cid:durableId="1839076415">
    <w:abstractNumId w:val="7"/>
  </w:num>
  <w:num w:numId="6" w16cid:durableId="1154905667">
    <w:abstractNumId w:val="3"/>
  </w:num>
  <w:num w:numId="7" w16cid:durableId="1251353696">
    <w:abstractNumId w:val="2"/>
  </w:num>
  <w:num w:numId="8" w16cid:durableId="1002973841">
    <w:abstractNumId w:val="1"/>
  </w:num>
  <w:num w:numId="9" w16cid:durableId="1742174203">
    <w:abstractNumId w:val="0"/>
  </w:num>
  <w:num w:numId="10" w16cid:durableId="1181815883">
    <w:abstractNumId w:val="15"/>
  </w:num>
  <w:num w:numId="11" w16cid:durableId="318656285">
    <w:abstractNumId w:val="23"/>
  </w:num>
  <w:num w:numId="12" w16cid:durableId="1756198181">
    <w:abstractNumId w:val="22"/>
  </w:num>
  <w:num w:numId="13" w16cid:durableId="499657603">
    <w:abstractNumId w:val="9"/>
  </w:num>
  <w:num w:numId="14" w16cid:durableId="880635284">
    <w:abstractNumId w:val="14"/>
  </w:num>
  <w:num w:numId="15" w16cid:durableId="1528134280">
    <w:abstractNumId w:val="12"/>
  </w:num>
  <w:num w:numId="16" w16cid:durableId="1280377354">
    <w:abstractNumId w:val="17"/>
  </w:num>
  <w:num w:numId="17" w16cid:durableId="396821488">
    <w:abstractNumId w:val="19"/>
  </w:num>
  <w:num w:numId="18" w16cid:durableId="1142120107">
    <w:abstractNumId w:val="13"/>
  </w:num>
  <w:num w:numId="19" w16cid:durableId="598299969">
    <w:abstractNumId w:val="24"/>
  </w:num>
  <w:num w:numId="20" w16cid:durableId="2145192071">
    <w:abstractNumId w:val="21"/>
  </w:num>
  <w:num w:numId="21" w16cid:durableId="1163397440">
    <w:abstractNumId w:val="11"/>
  </w:num>
  <w:num w:numId="22" w16cid:durableId="1538424505">
    <w:abstractNumId w:val="20"/>
  </w:num>
  <w:num w:numId="23" w16cid:durableId="1463689628">
    <w:abstractNumId w:val="16"/>
  </w:num>
  <w:num w:numId="24" w16cid:durableId="967901461">
    <w:abstractNumId w:val="18"/>
  </w:num>
  <w:num w:numId="25" w16cid:durableId="15233217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3195"/>
    <w:rsid w:val="00034616"/>
    <w:rsid w:val="0006063C"/>
    <w:rsid w:val="000D7C6B"/>
    <w:rsid w:val="00112922"/>
    <w:rsid w:val="0015074B"/>
    <w:rsid w:val="0029639D"/>
    <w:rsid w:val="00326F90"/>
    <w:rsid w:val="00332B03"/>
    <w:rsid w:val="004F7689"/>
    <w:rsid w:val="005A4092"/>
    <w:rsid w:val="006276F8"/>
    <w:rsid w:val="00664294"/>
    <w:rsid w:val="006A616C"/>
    <w:rsid w:val="009A25B0"/>
    <w:rsid w:val="00AA1D8D"/>
    <w:rsid w:val="00B46D64"/>
    <w:rsid w:val="00B47730"/>
    <w:rsid w:val="00C92232"/>
    <w:rsid w:val="00CB0664"/>
    <w:rsid w:val="00D41D23"/>
    <w:rsid w:val="00D76179"/>
    <w:rsid w:val="00D817E7"/>
    <w:rsid w:val="00DD7C47"/>
    <w:rsid w:val="00E24DC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676D91"/>
  <w14:defaultImageDpi w14:val="300"/>
  <w15:docId w15:val="{9B3ED2CF-64DA-47C9-BA65-A8A408F7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179"/>
    <w:pPr>
      <w:spacing w:after="0" w:line="264" w:lineRule="auto"/>
    </w:pPr>
    <w:rPr>
      <w:rFonts w:ascii="Segoe UI Symbol" w:hAnsi="Segoe UI Symbol"/>
      <w:sz w:val="20"/>
    </w:rPr>
  </w:style>
  <w:style w:type="paragraph" w:styleId="Heading1">
    <w:name w:val="heading 1"/>
    <w:basedOn w:val="Normal"/>
    <w:next w:val="Normal"/>
    <w:link w:val="Heading1Char"/>
    <w:uiPriority w:val="9"/>
    <w:qFormat/>
    <w:rsid w:val="00FC69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2</cp:revision>
  <dcterms:created xsi:type="dcterms:W3CDTF">2025-05-12T06:58:00Z</dcterms:created>
  <dcterms:modified xsi:type="dcterms:W3CDTF">2025-05-12T06:58:00Z</dcterms:modified>
  <cp:category/>
</cp:coreProperties>
</file>